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33" w:rsidRPr="00E56433" w:rsidRDefault="00E56433" w:rsidP="00E56433">
      <w:pPr>
        <w:pStyle w:val="normal0"/>
        <w:ind w:left="2124" w:hanging="1982"/>
        <w:jc w:val="center"/>
        <w:rPr>
          <w:b/>
          <w:sz w:val="22"/>
          <w:szCs w:val="22"/>
        </w:rPr>
      </w:pPr>
      <w:r w:rsidRPr="00E56433">
        <w:rPr>
          <w:b/>
          <w:sz w:val="22"/>
          <w:szCs w:val="22"/>
        </w:rPr>
        <w:t xml:space="preserve">LEI MUNICIPAL </w:t>
      </w:r>
      <w:proofErr w:type="spellStart"/>
      <w:r w:rsidRPr="00E56433">
        <w:rPr>
          <w:b/>
          <w:sz w:val="22"/>
          <w:szCs w:val="22"/>
        </w:rPr>
        <w:t>Nº______</w:t>
      </w:r>
      <w:proofErr w:type="spellEnd"/>
      <w:r w:rsidRPr="00E56433">
        <w:rPr>
          <w:b/>
          <w:sz w:val="22"/>
          <w:szCs w:val="22"/>
        </w:rPr>
        <w:t>/2024 APROVADA EM 02/05/2024</w:t>
      </w:r>
    </w:p>
    <w:p w:rsidR="00E56433" w:rsidRDefault="00E56433" w:rsidP="00E56433">
      <w:pPr>
        <w:pStyle w:val="normal0"/>
        <w:ind w:left="2124" w:hanging="1982"/>
        <w:jc w:val="center"/>
        <w:rPr>
          <w:b/>
          <w:sz w:val="22"/>
          <w:szCs w:val="22"/>
        </w:rPr>
      </w:pPr>
      <w:r w:rsidRPr="00E56433">
        <w:rPr>
          <w:b/>
          <w:sz w:val="22"/>
          <w:szCs w:val="22"/>
        </w:rPr>
        <w:t>REFERENTE AO PROJETO DE LEI N.º 15/2024</w:t>
      </w:r>
    </w:p>
    <w:p w:rsidR="00C74806" w:rsidRPr="00E56433" w:rsidRDefault="00C74806" w:rsidP="00E56433">
      <w:pPr>
        <w:pStyle w:val="normal0"/>
        <w:ind w:left="2124" w:hanging="1982"/>
        <w:jc w:val="center"/>
        <w:rPr>
          <w:b/>
          <w:sz w:val="22"/>
          <w:szCs w:val="22"/>
        </w:rPr>
      </w:pPr>
    </w:p>
    <w:p w:rsidR="00E56433" w:rsidRPr="00E56433" w:rsidRDefault="00E56433" w:rsidP="00E5643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1"/>
        <w:rPr>
          <w:rFonts w:eastAsia="Verdana"/>
          <w:b/>
          <w:color w:val="000000"/>
          <w:sz w:val="22"/>
          <w:szCs w:val="22"/>
        </w:rPr>
      </w:pPr>
      <w:r w:rsidRPr="00E56433">
        <w:rPr>
          <w:rFonts w:eastAsia="Verdana"/>
          <w:b/>
          <w:color w:val="000000"/>
          <w:sz w:val="22"/>
          <w:szCs w:val="22"/>
        </w:rPr>
        <w:t>Inclui ação e altera programa do PPA, LDO e LOA e abre crédito adicional especial.</w:t>
      </w:r>
    </w:p>
    <w:p w:rsidR="00E56433" w:rsidRDefault="00E56433" w:rsidP="00E56433">
      <w:pPr>
        <w:pStyle w:val="normal0"/>
        <w:ind w:firstLine="1560"/>
        <w:jc w:val="both"/>
        <w:rPr>
          <w:sz w:val="20"/>
          <w:szCs w:val="20"/>
        </w:rPr>
      </w:pPr>
      <w:r w:rsidRPr="00E56433">
        <w:rPr>
          <w:sz w:val="20"/>
          <w:szCs w:val="20"/>
        </w:rPr>
        <w:t>A Câmara Municipal de Passa Vinte/MG aprovou e eu Prefeito Municipal, sanciono a seguinte Lei:</w:t>
      </w:r>
    </w:p>
    <w:p w:rsidR="00401BDC" w:rsidRPr="00E56433" w:rsidRDefault="00401BDC" w:rsidP="00E56433">
      <w:pPr>
        <w:pStyle w:val="normal0"/>
        <w:ind w:firstLine="1560"/>
        <w:jc w:val="both"/>
        <w:rPr>
          <w:sz w:val="20"/>
          <w:szCs w:val="20"/>
        </w:rPr>
      </w:pPr>
    </w:p>
    <w:p w:rsidR="00E56433" w:rsidRPr="00E56433" w:rsidRDefault="00E56433" w:rsidP="00E56433">
      <w:pPr>
        <w:pStyle w:val="normal0"/>
        <w:spacing w:line="360" w:lineRule="auto"/>
        <w:ind w:right="-568" w:firstLine="1134"/>
        <w:jc w:val="both"/>
        <w:rPr>
          <w:rFonts w:eastAsia="Verdana"/>
          <w:sz w:val="20"/>
          <w:szCs w:val="20"/>
        </w:rPr>
      </w:pPr>
      <w:r w:rsidRPr="00E56433">
        <w:rPr>
          <w:rFonts w:eastAsia="Verdana"/>
          <w:b/>
          <w:sz w:val="20"/>
          <w:szCs w:val="20"/>
        </w:rPr>
        <w:t xml:space="preserve">         Art. 1</w:t>
      </w:r>
      <w:r w:rsidRPr="00E56433">
        <w:rPr>
          <w:rFonts w:eastAsia="Verdana"/>
          <w:b/>
          <w:sz w:val="20"/>
          <w:szCs w:val="20"/>
          <w:u w:val="single"/>
          <w:vertAlign w:val="superscript"/>
        </w:rPr>
        <w:t>o</w:t>
      </w:r>
      <w:r w:rsidRPr="00E56433">
        <w:rPr>
          <w:rFonts w:eastAsia="Verdana"/>
          <w:sz w:val="20"/>
          <w:szCs w:val="20"/>
        </w:rPr>
        <w:t xml:space="preserve"> Fica incluído no Plano Plurianual/PPA 2022-2025, Lei </w:t>
      </w:r>
      <w:proofErr w:type="gramStart"/>
      <w:r w:rsidRPr="00E56433">
        <w:rPr>
          <w:rFonts w:eastAsia="Verdana"/>
          <w:sz w:val="20"/>
          <w:szCs w:val="20"/>
        </w:rPr>
        <w:t>n</w:t>
      </w:r>
      <w:r w:rsidRPr="00E56433">
        <w:rPr>
          <w:rFonts w:eastAsia="Verdana"/>
          <w:sz w:val="20"/>
          <w:szCs w:val="20"/>
          <w:u w:val="single"/>
          <w:vertAlign w:val="superscript"/>
        </w:rPr>
        <w:t>o</w:t>
      </w:r>
      <w:r w:rsidRPr="00E56433">
        <w:rPr>
          <w:rFonts w:eastAsia="Verdana"/>
          <w:sz w:val="20"/>
          <w:szCs w:val="20"/>
        </w:rPr>
        <w:t xml:space="preserve"> 287</w:t>
      </w:r>
      <w:proofErr w:type="gramEnd"/>
      <w:r w:rsidRPr="00E56433">
        <w:rPr>
          <w:rFonts w:eastAsia="Verdana"/>
          <w:sz w:val="20"/>
          <w:szCs w:val="20"/>
        </w:rPr>
        <w:t>, de 23 de novembro de 2021; as seguintes ações:</w:t>
      </w:r>
    </w:p>
    <w:p w:rsidR="00E56433" w:rsidRPr="00E56433" w:rsidRDefault="00E56433" w:rsidP="00E5643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68"/>
        <w:jc w:val="both"/>
        <w:rPr>
          <w:b/>
          <w:color w:val="000000"/>
          <w:sz w:val="20"/>
          <w:szCs w:val="20"/>
        </w:rPr>
      </w:pPr>
      <w:r w:rsidRPr="00E56433">
        <w:rPr>
          <w:rFonts w:eastAsia="Verdana"/>
          <w:b/>
          <w:color w:val="000000"/>
          <w:sz w:val="20"/>
          <w:szCs w:val="20"/>
        </w:rPr>
        <w:t xml:space="preserve">Apoio aos projetos culturais – Lei Aldir Blanc </w:t>
      </w:r>
      <w:proofErr w:type="gramStart"/>
      <w:r w:rsidRPr="00E56433">
        <w:rPr>
          <w:rFonts w:eastAsia="Verdana"/>
          <w:b/>
          <w:color w:val="000000"/>
          <w:sz w:val="20"/>
          <w:szCs w:val="20"/>
        </w:rPr>
        <w:t>2</w:t>
      </w:r>
      <w:proofErr w:type="gramEnd"/>
      <w:r w:rsidRPr="00E56433">
        <w:rPr>
          <w:rFonts w:eastAsia="Verdana"/>
          <w:b/>
          <w:color w:val="000000"/>
          <w:sz w:val="20"/>
          <w:szCs w:val="20"/>
        </w:rPr>
        <w:t>.</w:t>
      </w:r>
    </w:p>
    <w:p w:rsidR="00E56433" w:rsidRPr="00E56433" w:rsidRDefault="00E56433" w:rsidP="00E5643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854" w:right="-568"/>
        <w:jc w:val="both"/>
        <w:rPr>
          <w:rFonts w:eastAsia="Verdana"/>
          <w:i/>
          <w:color w:val="000000"/>
          <w:sz w:val="20"/>
          <w:szCs w:val="20"/>
        </w:rPr>
      </w:pPr>
      <w:r w:rsidRPr="00E56433">
        <w:rPr>
          <w:rFonts w:eastAsia="Verdana"/>
          <w:i/>
          <w:color w:val="000000"/>
          <w:sz w:val="20"/>
          <w:szCs w:val="20"/>
        </w:rPr>
        <w:t xml:space="preserve">- Estimular ações, iniciativas, atividades e projetos culturais; Garantir o funcionamento e a manutenção de ações, de espaços, de ambientes de iniciativas artísticos culturais...; Democratizar o acesso, a fruição e a produção artística e cultural, inclusive em áreas periféricas, urbanas e rurais; Garantir o financiamento para ações, os projetos, as políticas e os programas públicos de </w:t>
      </w:r>
      <w:proofErr w:type="gramStart"/>
      <w:r w:rsidRPr="00E56433">
        <w:rPr>
          <w:rFonts w:eastAsia="Verdana"/>
          <w:i/>
          <w:color w:val="000000"/>
          <w:sz w:val="20"/>
          <w:szCs w:val="20"/>
        </w:rPr>
        <w:t xml:space="preserve">cultura </w:t>
      </w:r>
      <w:proofErr w:type="spellStart"/>
      <w:r w:rsidRPr="00E56433">
        <w:rPr>
          <w:rFonts w:eastAsia="Verdana"/>
          <w:i/>
          <w:color w:val="000000"/>
          <w:sz w:val="20"/>
          <w:szCs w:val="20"/>
        </w:rPr>
        <w:t>´previstos</w:t>
      </w:r>
      <w:proofErr w:type="spellEnd"/>
      <w:proofErr w:type="gramEnd"/>
      <w:r w:rsidRPr="00E56433">
        <w:rPr>
          <w:rFonts w:eastAsia="Verdana"/>
          <w:i/>
          <w:color w:val="000000"/>
          <w:sz w:val="20"/>
          <w:szCs w:val="20"/>
        </w:rPr>
        <w:t xml:space="preserve"> no plano de cultura local.</w:t>
      </w:r>
    </w:p>
    <w:p w:rsidR="00E56433" w:rsidRPr="00E56433" w:rsidRDefault="00E56433" w:rsidP="00E56433">
      <w:pPr>
        <w:pStyle w:val="normal0"/>
        <w:spacing w:line="360" w:lineRule="auto"/>
        <w:ind w:right="-568" w:firstLine="1134"/>
        <w:jc w:val="both"/>
        <w:rPr>
          <w:rFonts w:eastAsia="Verdana"/>
          <w:sz w:val="20"/>
          <w:szCs w:val="20"/>
        </w:rPr>
      </w:pPr>
      <w:r w:rsidRPr="00E56433">
        <w:rPr>
          <w:rFonts w:eastAsia="Verdana"/>
          <w:b/>
          <w:sz w:val="20"/>
          <w:szCs w:val="20"/>
        </w:rPr>
        <w:t xml:space="preserve">       Art. 2</w:t>
      </w:r>
      <w:r w:rsidRPr="00E56433">
        <w:rPr>
          <w:rFonts w:eastAsia="Verdana"/>
          <w:b/>
          <w:sz w:val="20"/>
          <w:szCs w:val="20"/>
          <w:u w:val="single"/>
          <w:vertAlign w:val="superscript"/>
        </w:rPr>
        <w:t>o</w:t>
      </w:r>
      <w:r w:rsidRPr="00E56433">
        <w:rPr>
          <w:rFonts w:eastAsia="Verdana"/>
          <w:sz w:val="20"/>
          <w:szCs w:val="20"/>
        </w:rPr>
        <w:t xml:space="preserve"> Fica inserido no anexo de metas da Lei de Diretrizes Orçamentárias/LDO para o exercício financeiro de 2024, Lei n</w:t>
      </w:r>
      <w:r w:rsidRPr="00E56433">
        <w:rPr>
          <w:rFonts w:eastAsia="Verdana"/>
          <w:sz w:val="20"/>
          <w:szCs w:val="20"/>
          <w:u w:val="single"/>
          <w:vertAlign w:val="superscript"/>
        </w:rPr>
        <w:t>o</w:t>
      </w:r>
      <w:r w:rsidRPr="00E56433">
        <w:rPr>
          <w:rFonts w:eastAsia="Verdana"/>
          <w:sz w:val="20"/>
          <w:szCs w:val="20"/>
        </w:rPr>
        <w:t xml:space="preserve"> 383/2023, de 19 de junho de 2023, as seguintes metas:</w:t>
      </w:r>
    </w:p>
    <w:p w:rsidR="00E56433" w:rsidRPr="00E56433" w:rsidRDefault="00E56433" w:rsidP="00E5643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568"/>
        <w:jc w:val="both"/>
        <w:rPr>
          <w:b/>
          <w:color w:val="000000"/>
          <w:sz w:val="20"/>
          <w:szCs w:val="20"/>
        </w:rPr>
      </w:pPr>
      <w:r w:rsidRPr="00E56433">
        <w:rPr>
          <w:rFonts w:eastAsia="Verdana"/>
          <w:b/>
          <w:color w:val="000000"/>
          <w:sz w:val="20"/>
          <w:szCs w:val="20"/>
        </w:rPr>
        <w:t xml:space="preserve">Apoio aos projetos culturais – Lei Aldir Blanc </w:t>
      </w:r>
      <w:proofErr w:type="gramStart"/>
      <w:r w:rsidRPr="00E56433">
        <w:rPr>
          <w:rFonts w:eastAsia="Verdana"/>
          <w:b/>
          <w:color w:val="000000"/>
          <w:sz w:val="20"/>
          <w:szCs w:val="20"/>
        </w:rPr>
        <w:t>2</w:t>
      </w:r>
      <w:proofErr w:type="gramEnd"/>
      <w:r w:rsidRPr="00E56433">
        <w:rPr>
          <w:rFonts w:eastAsia="Verdana"/>
          <w:b/>
          <w:color w:val="000000"/>
          <w:sz w:val="20"/>
          <w:szCs w:val="20"/>
        </w:rPr>
        <w:t>.</w:t>
      </w:r>
    </w:p>
    <w:p w:rsidR="00E56433" w:rsidRPr="00E56433" w:rsidRDefault="00E56433" w:rsidP="00E56433">
      <w:pPr>
        <w:pStyle w:val="normal0"/>
        <w:spacing w:line="360" w:lineRule="auto"/>
        <w:ind w:right="-568" w:firstLine="1134"/>
        <w:jc w:val="both"/>
        <w:rPr>
          <w:rFonts w:eastAsia="Verdana"/>
          <w:sz w:val="20"/>
          <w:szCs w:val="20"/>
        </w:rPr>
      </w:pPr>
      <w:r w:rsidRPr="00E56433">
        <w:rPr>
          <w:rFonts w:eastAsia="Verdana"/>
          <w:b/>
          <w:sz w:val="20"/>
          <w:szCs w:val="20"/>
        </w:rPr>
        <w:t>Art. 3</w:t>
      </w:r>
      <w:r w:rsidRPr="00E56433">
        <w:rPr>
          <w:rFonts w:eastAsia="Verdana"/>
          <w:b/>
          <w:sz w:val="20"/>
          <w:szCs w:val="20"/>
          <w:u w:val="single"/>
          <w:vertAlign w:val="superscript"/>
        </w:rPr>
        <w:t>o</w:t>
      </w:r>
      <w:r w:rsidRPr="00E56433">
        <w:rPr>
          <w:rFonts w:eastAsia="Verdana"/>
          <w:sz w:val="20"/>
          <w:szCs w:val="20"/>
        </w:rPr>
        <w:t xml:space="preserve"> Fica aberto o seguinte crédito especial no orçamento vigente: </w:t>
      </w:r>
      <w:r w:rsidRPr="00E56433">
        <w:rPr>
          <w:rFonts w:eastAsia="Verdana"/>
          <w:b/>
          <w:sz w:val="20"/>
          <w:szCs w:val="20"/>
        </w:rPr>
        <w:t xml:space="preserve">projeto/ação 2.0098, “Apoio aos projetos culturais – Lei Aldir Blanc </w:t>
      </w:r>
      <w:proofErr w:type="gramStart"/>
      <w:r w:rsidRPr="00E56433">
        <w:rPr>
          <w:rFonts w:eastAsia="Verdana"/>
          <w:b/>
          <w:sz w:val="20"/>
          <w:szCs w:val="20"/>
        </w:rPr>
        <w:t>2</w:t>
      </w:r>
      <w:proofErr w:type="gramEnd"/>
      <w:r w:rsidRPr="00E56433">
        <w:rPr>
          <w:rFonts w:eastAsia="Verdana"/>
          <w:sz w:val="20"/>
          <w:szCs w:val="20"/>
        </w:rPr>
        <w:t xml:space="preserve">” no programa </w:t>
      </w:r>
      <w:r w:rsidRPr="00E56433">
        <w:rPr>
          <w:rFonts w:eastAsia="Verdana"/>
          <w:b/>
          <w:sz w:val="20"/>
          <w:szCs w:val="20"/>
        </w:rPr>
        <w:t xml:space="preserve">12 – MEMÓRIA E PATRIMÔNIO HISTÓRICO, </w:t>
      </w:r>
      <w:r w:rsidRPr="00E56433">
        <w:rPr>
          <w:rFonts w:eastAsia="Verdana"/>
          <w:sz w:val="20"/>
          <w:szCs w:val="20"/>
        </w:rPr>
        <w:t xml:space="preserve">conforme segue: </w:t>
      </w:r>
    </w:p>
    <w:tbl>
      <w:tblPr>
        <w:tblStyle w:val="4"/>
        <w:tblW w:w="10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87"/>
        <w:gridCol w:w="1128"/>
        <w:gridCol w:w="3755"/>
        <w:gridCol w:w="1317"/>
      </w:tblGrid>
      <w:tr w:rsidR="00E56433" w:rsidRPr="00E56433" w:rsidTr="00C55812">
        <w:trPr>
          <w:cantSplit/>
          <w:tblHeader/>
        </w:trPr>
        <w:tc>
          <w:tcPr>
            <w:tcW w:w="4087" w:type="dxa"/>
            <w:shd w:val="clear" w:color="auto" w:fill="A6A6A6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20"/>
                <w:szCs w:val="20"/>
                <w:u w:val="single"/>
              </w:rPr>
            </w:pPr>
            <w:r w:rsidRPr="00E56433">
              <w:rPr>
                <w:rFonts w:eastAsia="Verdana"/>
                <w:b/>
                <w:sz w:val="20"/>
                <w:szCs w:val="20"/>
                <w:u w:val="single"/>
              </w:rPr>
              <w:t>Dotação orçamentária</w:t>
            </w:r>
          </w:p>
        </w:tc>
        <w:tc>
          <w:tcPr>
            <w:tcW w:w="1128" w:type="dxa"/>
            <w:shd w:val="clear" w:color="auto" w:fill="A6A6A6"/>
          </w:tcPr>
          <w:p w:rsidR="00E56433" w:rsidRPr="00E56433" w:rsidRDefault="00E56433" w:rsidP="00C55812">
            <w:pPr>
              <w:pStyle w:val="normal0"/>
              <w:spacing w:line="360" w:lineRule="auto"/>
              <w:jc w:val="both"/>
              <w:rPr>
                <w:rFonts w:eastAsia="Verdana"/>
                <w:b/>
                <w:sz w:val="20"/>
                <w:szCs w:val="20"/>
                <w:u w:val="single"/>
              </w:rPr>
            </w:pPr>
            <w:r w:rsidRPr="00E56433">
              <w:rPr>
                <w:rFonts w:eastAsia="Verdana"/>
                <w:b/>
                <w:sz w:val="20"/>
                <w:szCs w:val="20"/>
                <w:u w:val="single"/>
              </w:rPr>
              <w:t>Fonte</w:t>
            </w:r>
          </w:p>
        </w:tc>
        <w:tc>
          <w:tcPr>
            <w:tcW w:w="3755" w:type="dxa"/>
            <w:shd w:val="clear" w:color="auto" w:fill="A6A6A6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20"/>
                <w:szCs w:val="20"/>
                <w:u w:val="single"/>
              </w:rPr>
            </w:pPr>
            <w:r w:rsidRPr="00E56433">
              <w:rPr>
                <w:rFonts w:eastAsia="Verdana"/>
                <w:b/>
                <w:sz w:val="20"/>
                <w:szCs w:val="20"/>
                <w:u w:val="single"/>
              </w:rPr>
              <w:t>Nomenclatura</w:t>
            </w:r>
          </w:p>
        </w:tc>
        <w:tc>
          <w:tcPr>
            <w:tcW w:w="1317" w:type="dxa"/>
            <w:shd w:val="clear" w:color="auto" w:fill="A6A6A6"/>
          </w:tcPr>
          <w:p w:rsidR="00E56433" w:rsidRPr="00E56433" w:rsidRDefault="00E56433" w:rsidP="00C55812">
            <w:pPr>
              <w:pStyle w:val="normal0"/>
              <w:spacing w:line="360" w:lineRule="auto"/>
              <w:jc w:val="both"/>
              <w:rPr>
                <w:rFonts w:eastAsia="Verdana"/>
                <w:b/>
                <w:sz w:val="20"/>
                <w:szCs w:val="20"/>
                <w:u w:val="single"/>
              </w:rPr>
            </w:pPr>
            <w:r w:rsidRPr="00E56433">
              <w:rPr>
                <w:rFonts w:eastAsia="Verdana"/>
                <w:b/>
                <w:sz w:val="20"/>
                <w:szCs w:val="20"/>
                <w:u w:val="single"/>
              </w:rPr>
              <w:t>R$ (1,00).</w:t>
            </w:r>
          </w:p>
        </w:tc>
      </w:tr>
      <w:tr w:rsidR="00E56433" w:rsidRPr="00E56433" w:rsidTr="00C55812">
        <w:trPr>
          <w:cantSplit/>
          <w:tblHeader/>
        </w:trPr>
        <w:tc>
          <w:tcPr>
            <w:tcW w:w="4087" w:type="dxa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sz w:val="20"/>
                <w:szCs w:val="20"/>
              </w:rPr>
            </w:pPr>
            <w:r w:rsidRPr="00E56433">
              <w:rPr>
                <w:rFonts w:eastAsia="Verdana"/>
                <w:b/>
                <w:sz w:val="20"/>
                <w:szCs w:val="20"/>
              </w:rPr>
              <w:t>3.3.90.39.00.2.09.01.13.392.0012.2.0098</w:t>
            </w:r>
          </w:p>
        </w:tc>
        <w:tc>
          <w:tcPr>
            <w:tcW w:w="1128" w:type="dxa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sz w:val="20"/>
                <w:szCs w:val="20"/>
              </w:rPr>
            </w:pPr>
            <w:r w:rsidRPr="00E56433">
              <w:rPr>
                <w:rFonts w:eastAsia="Verdana"/>
                <w:b/>
                <w:sz w:val="20"/>
                <w:szCs w:val="20"/>
              </w:rPr>
              <w:t>1.719.000</w:t>
            </w:r>
          </w:p>
        </w:tc>
        <w:tc>
          <w:tcPr>
            <w:tcW w:w="3755" w:type="dxa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E56433">
              <w:rPr>
                <w:rFonts w:eastAsia="Verdana"/>
                <w:b/>
                <w:sz w:val="20"/>
                <w:szCs w:val="20"/>
              </w:rPr>
              <w:t xml:space="preserve">Apoio aos projetos culturais – Lei Aldir Blanc </w:t>
            </w:r>
            <w:proofErr w:type="gramStart"/>
            <w:r w:rsidRPr="00E56433">
              <w:rPr>
                <w:rFonts w:eastAsia="Verdana"/>
                <w:b/>
                <w:sz w:val="20"/>
                <w:szCs w:val="20"/>
              </w:rPr>
              <w:t>2</w:t>
            </w:r>
            <w:proofErr w:type="gramEnd"/>
            <w:r w:rsidRPr="00E56433">
              <w:rPr>
                <w:rFonts w:eastAsia="Verdana"/>
                <w:b/>
                <w:sz w:val="20"/>
                <w:szCs w:val="20"/>
              </w:rPr>
              <w:t>.</w:t>
            </w:r>
          </w:p>
        </w:tc>
        <w:tc>
          <w:tcPr>
            <w:tcW w:w="1317" w:type="dxa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sz w:val="20"/>
                <w:szCs w:val="20"/>
              </w:rPr>
            </w:pPr>
            <w:r w:rsidRPr="00E56433">
              <w:rPr>
                <w:rFonts w:eastAsia="Verdana"/>
                <w:sz w:val="20"/>
                <w:szCs w:val="20"/>
              </w:rPr>
              <w:t>36.946,25</w:t>
            </w:r>
          </w:p>
        </w:tc>
      </w:tr>
      <w:tr w:rsidR="00E56433" w:rsidRPr="00E56433" w:rsidTr="00C55812">
        <w:trPr>
          <w:cantSplit/>
          <w:tblHeader/>
        </w:trPr>
        <w:tc>
          <w:tcPr>
            <w:tcW w:w="4087" w:type="dxa"/>
            <w:shd w:val="clear" w:color="auto" w:fill="D9D9D9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color w:val="BFBFBF"/>
                <w:sz w:val="20"/>
                <w:szCs w:val="20"/>
              </w:rPr>
            </w:pPr>
          </w:p>
        </w:tc>
        <w:tc>
          <w:tcPr>
            <w:tcW w:w="6200" w:type="dxa"/>
            <w:gridSpan w:val="3"/>
          </w:tcPr>
          <w:p w:rsidR="00E56433" w:rsidRPr="00E56433" w:rsidRDefault="00E56433" w:rsidP="00C55812">
            <w:pPr>
              <w:pStyle w:val="normal0"/>
              <w:tabs>
                <w:tab w:val="left" w:pos="660"/>
              </w:tabs>
              <w:spacing w:line="360" w:lineRule="auto"/>
              <w:jc w:val="right"/>
              <w:rPr>
                <w:rFonts w:eastAsia="Verdana"/>
                <w:i/>
                <w:sz w:val="20"/>
                <w:szCs w:val="20"/>
                <w:u w:val="single"/>
              </w:rPr>
            </w:pPr>
            <w:r w:rsidRPr="00E56433">
              <w:rPr>
                <w:rFonts w:eastAsia="Verdana"/>
                <w:i/>
                <w:sz w:val="20"/>
                <w:szCs w:val="20"/>
                <w:u w:val="single"/>
              </w:rPr>
              <w:t>Fomento Cultural</w:t>
            </w:r>
          </w:p>
        </w:tc>
      </w:tr>
      <w:tr w:rsidR="00E56433" w:rsidRPr="00E56433" w:rsidTr="00C55812">
        <w:trPr>
          <w:cantSplit/>
          <w:tblHeader/>
        </w:trPr>
        <w:tc>
          <w:tcPr>
            <w:tcW w:w="4087" w:type="dxa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E56433">
              <w:rPr>
                <w:rFonts w:eastAsia="Verdana"/>
                <w:b/>
                <w:sz w:val="20"/>
                <w:szCs w:val="20"/>
              </w:rPr>
              <w:t>3.3.90.35.00.2.09.01.13.392.0012.2.0098</w:t>
            </w:r>
          </w:p>
        </w:tc>
        <w:tc>
          <w:tcPr>
            <w:tcW w:w="1128" w:type="dxa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E56433">
              <w:rPr>
                <w:rFonts w:eastAsia="Verdana"/>
                <w:b/>
                <w:sz w:val="20"/>
                <w:szCs w:val="20"/>
              </w:rPr>
              <w:t>1.719.000</w:t>
            </w:r>
          </w:p>
        </w:tc>
        <w:tc>
          <w:tcPr>
            <w:tcW w:w="3755" w:type="dxa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E56433">
              <w:rPr>
                <w:rFonts w:eastAsia="Verdana"/>
                <w:b/>
                <w:sz w:val="20"/>
                <w:szCs w:val="20"/>
              </w:rPr>
              <w:t xml:space="preserve">Apoio aos projetos culturais – Lei Aldir Blanc </w:t>
            </w:r>
            <w:proofErr w:type="gramStart"/>
            <w:r w:rsidRPr="00E56433">
              <w:rPr>
                <w:rFonts w:eastAsia="Verdana"/>
                <w:b/>
                <w:sz w:val="20"/>
                <w:szCs w:val="20"/>
              </w:rPr>
              <w:t>2</w:t>
            </w:r>
            <w:proofErr w:type="gramEnd"/>
            <w:r w:rsidRPr="00E56433">
              <w:rPr>
                <w:rFonts w:eastAsia="Verdana"/>
                <w:b/>
                <w:sz w:val="20"/>
                <w:szCs w:val="20"/>
              </w:rPr>
              <w:t>.</w:t>
            </w:r>
          </w:p>
        </w:tc>
        <w:tc>
          <w:tcPr>
            <w:tcW w:w="1317" w:type="dxa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sz w:val="20"/>
                <w:szCs w:val="20"/>
              </w:rPr>
            </w:pPr>
            <w:r w:rsidRPr="00E56433">
              <w:rPr>
                <w:rFonts w:eastAsia="Verdana"/>
                <w:sz w:val="20"/>
                <w:szCs w:val="20"/>
              </w:rPr>
              <w:t>1.944,54</w:t>
            </w:r>
          </w:p>
        </w:tc>
      </w:tr>
      <w:tr w:rsidR="00E56433" w:rsidRPr="00E56433" w:rsidTr="00C55812">
        <w:trPr>
          <w:cantSplit/>
          <w:tblHeader/>
        </w:trPr>
        <w:tc>
          <w:tcPr>
            <w:tcW w:w="4087" w:type="dxa"/>
            <w:shd w:val="clear" w:color="auto" w:fill="D9D9D9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color w:val="BFBFBF"/>
                <w:sz w:val="20"/>
                <w:szCs w:val="20"/>
              </w:rPr>
            </w:pPr>
          </w:p>
        </w:tc>
        <w:tc>
          <w:tcPr>
            <w:tcW w:w="6200" w:type="dxa"/>
            <w:gridSpan w:val="3"/>
          </w:tcPr>
          <w:p w:rsidR="00E56433" w:rsidRPr="00E56433" w:rsidRDefault="00E56433" w:rsidP="00C55812">
            <w:pPr>
              <w:pStyle w:val="normal0"/>
              <w:tabs>
                <w:tab w:val="left" w:pos="660"/>
              </w:tabs>
              <w:spacing w:line="360" w:lineRule="auto"/>
              <w:jc w:val="right"/>
              <w:rPr>
                <w:rFonts w:eastAsia="Verdana"/>
                <w:i/>
                <w:sz w:val="20"/>
                <w:szCs w:val="20"/>
                <w:u w:val="single"/>
              </w:rPr>
            </w:pPr>
            <w:r w:rsidRPr="00E56433">
              <w:rPr>
                <w:rFonts w:eastAsia="Verdana"/>
                <w:i/>
                <w:sz w:val="20"/>
                <w:szCs w:val="20"/>
                <w:u w:val="single"/>
              </w:rPr>
              <w:t>Custo Operacional</w:t>
            </w:r>
          </w:p>
        </w:tc>
      </w:tr>
      <w:tr w:rsidR="00E56433" w:rsidRPr="00E56433" w:rsidTr="00C55812">
        <w:trPr>
          <w:cantSplit/>
          <w:tblHeader/>
        </w:trPr>
        <w:tc>
          <w:tcPr>
            <w:tcW w:w="8970" w:type="dxa"/>
            <w:gridSpan w:val="3"/>
            <w:shd w:val="clear" w:color="auto" w:fill="A6A6A6"/>
          </w:tcPr>
          <w:p w:rsidR="00E56433" w:rsidRPr="00E56433" w:rsidRDefault="00E56433" w:rsidP="00C55812">
            <w:pPr>
              <w:pStyle w:val="normal0"/>
              <w:spacing w:line="360" w:lineRule="auto"/>
              <w:jc w:val="both"/>
              <w:rPr>
                <w:rFonts w:eastAsia="Verdana"/>
                <w:sz w:val="20"/>
                <w:szCs w:val="20"/>
              </w:rPr>
            </w:pPr>
            <w:r w:rsidRPr="00E56433">
              <w:rPr>
                <w:rFonts w:eastAsia="Verdana"/>
                <w:b/>
                <w:sz w:val="20"/>
                <w:szCs w:val="20"/>
              </w:rPr>
              <w:t>Total</w:t>
            </w:r>
          </w:p>
        </w:tc>
        <w:tc>
          <w:tcPr>
            <w:tcW w:w="1317" w:type="dxa"/>
            <w:shd w:val="clear" w:color="auto" w:fill="A6A6A6"/>
          </w:tcPr>
          <w:p w:rsidR="00E56433" w:rsidRPr="00E56433" w:rsidRDefault="00E56433" w:rsidP="00C55812">
            <w:pPr>
              <w:pStyle w:val="normal0"/>
              <w:spacing w:line="360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E56433">
              <w:rPr>
                <w:rFonts w:eastAsia="Verdana"/>
                <w:b/>
                <w:sz w:val="20"/>
                <w:szCs w:val="20"/>
              </w:rPr>
              <w:t>38.890,79</w:t>
            </w:r>
          </w:p>
        </w:tc>
      </w:tr>
    </w:tbl>
    <w:p w:rsidR="00E56433" w:rsidRPr="00E56433" w:rsidRDefault="00E56433" w:rsidP="00E56433">
      <w:pPr>
        <w:pStyle w:val="normal0"/>
        <w:spacing w:line="360" w:lineRule="auto"/>
        <w:ind w:right="-568" w:firstLine="1134"/>
        <w:jc w:val="both"/>
        <w:rPr>
          <w:rFonts w:eastAsia="Verdana"/>
          <w:sz w:val="20"/>
          <w:szCs w:val="20"/>
        </w:rPr>
      </w:pPr>
      <w:r w:rsidRPr="00E56433">
        <w:rPr>
          <w:rFonts w:eastAsia="Verdana"/>
          <w:b/>
          <w:sz w:val="20"/>
          <w:szCs w:val="20"/>
        </w:rPr>
        <w:t xml:space="preserve">Art. 4º - </w:t>
      </w:r>
      <w:r w:rsidRPr="00E56433">
        <w:rPr>
          <w:rFonts w:eastAsia="Verdana"/>
          <w:sz w:val="20"/>
          <w:szCs w:val="20"/>
        </w:rPr>
        <w:t>Para atender o que prescreve o artigo anterior, será utilizada como fonte de recurso:</w:t>
      </w:r>
      <w:r w:rsidRPr="00E56433">
        <w:rPr>
          <w:rFonts w:eastAsia="Verdana"/>
          <w:b/>
          <w:sz w:val="20"/>
          <w:szCs w:val="20"/>
        </w:rPr>
        <w:t xml:space="preserve"> EXCESSO DE ARRECADAÇÃO </w:t>
      </w:r>
      <w:r w:rsidRPr="00E56433">
        <w:rPr>
          <w:rFonts w:eastAsia="Verdana"/>
          <w:sz w:val="20"/>
          <w:szCs w:val="20"/>
        </w:rPr>
        <w:t>do Orçamento do Município na forma do parágrafo 1º, inciso I a IV do artigo 43 Lei Federal 4.320/64.</w:t>
      </w:r>
    </w:p>
    <w:tbl>
      <w:tblPr>
        <w:tblStyle w:val="3"/>
        <w:tblW w:w="10755" w:type="dxa"/>
        <w:tblLayout w:type="fixed"/>
        <w:tblLook w:val="0400"/>
      </w:tblPr>
      <w:tblGrid>
        <w:gridCol w:w="5377"/>
        <w:gridCol w:w="5378"/>
      </w:tblGrid>
      <w:tr w:rsidR="00E56433" w:rsidRPr="00E56433" w:rsidTr="00C55812">
        <w:trPr>
          <w:cantSplit/>
          <w:tblHeader/>
        </w:trPr>
        <w:tc>
          <w:tcPr>
            <w:tcW w:w="5377" w:type="dxa"/>
            <w:vAlign w:val="center"/>
          </w:tcPr>
          <w:p w:rsidR="00E56433" w:rsidRPr="00E56433" w:rsidRDefault="00E56433" w:rsidP="00C55812">
            <w:pPr>
              <w:pStyle w:val="normal0"/>
              <w:rPr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:rsidR="00E56433" w:rsidRPr="00E56433" w:rsidRDefault="00E56433" w:rsidP="00C55812">
            <w:pPr>
              <w:pStyle w:val="normal0"/>
              <w:rPr>
                <w:sz w:val="20"/>
                <w:szCs w:val="20"/>
              </w:rPr>
            </w:pPr>
          </w:p>
        </w:tc>
      </w:tr>
    </w:tbl>
    <w:p w:rsidR="00E56433" w:rsidRPr="00E56433" w:rsidRDefault="00E56433" w:rsidP="00E56433">
      <w:pPr>
        <w:pStyle w:val="normal0"/>
        <w:spacing w:line="360" w:lineRule="auto"/>
        <w:ind w:firstLine="1134"/>
        <w:jc w:val="both"/>
        <w:rPr>
          <w:rFonts w:eastAsia="Verdana"/>
          <w:sz w:val="20"/>
          <w:szCs w:val="20"/>
        </w:rPr>
      </w:pPr>
      <w:r w:rsidRPr="00E56433">
        <w:rPr>
          <w:rFonts w:eastAsia="Verdana"/>
          <w:b/>
          <w:sz w:val="20"/>
          <w:szCs w:val="20"/>
        </w:rPr>
        <w:t>Art. 5º</w:t>
      </w:r>
      <w:r w:rsidRPr="00E56433">
        <w:rPr>
          <w:rFonts w:eastAsia="Verdana"/>
          <w:sz w:val="20"/>
          <w:szCs w:val="20"/>
        </w:rPr>
        <w:t xml:space="preserve"> Esta Lei entra em vigor na data de sua publicação.</w:t>
      </w:r>
    </w:p>
    <w:p w:rsidR="00E56433" w:rsidRPr="00E56433" w:rsidRDefault="00E56433" w:rsidP="00E56433">
      <w:pPr>
        <w:pStyle w:val="normal0"/>
        <w:jc w:val="right"/>
        <w:rPr>
          <w:sz w:val="20"/>
          <w:szCs w:val="20"/>
        </w:rPr>
      </w:pPr>
      <w:r w:rsidRPr="00E56433">
        <w:rPr>
          <w:sz w:val="20"/>
          <w:szCs w:val="20"/>
        </w:rPr>
        <w:t>Passa Vinte, 02 de maio de 2024.</w:t>
      </w:r>
    </w:p>
    <w:p w:rsidR="00E56433" w:rsidRDefault="00E56433" w:rsidP="00E56433">
      <w:pPr>
        <w:pStyle w:val="normal0"/>
        <w:jc w:val="right"/>
        <w:rPr>
          <w:sz w:val="26"/>
          <w:szCs w:val="26"/>
        </w:rPr>
      </w:pPr>
    </w:p>
    <w:p w:rsidR="00C74806" w:rsidRDefault="00C74806" w:rsidP="00E56433">
      <w:pPr>
        <w:pStyle w:val="normal0"/>
        <w:jc w:val="right"/>
        <w:rPr>
          <w:sz w:val="26"/>
          <w:szCs w:val="26"/>
        </w:rPr>
      </w:pPr>
    </w:p>
    <w:p w:rsidR="00C74806" w:rsidRDefault="00C74806" w:rsidP="00C74806">
      <w:pPr>
        <w:pStyle w:val="normal0"/>
        <w:jc w:val="both"/>
        <w:rPr>
          <w:b/>
        </w:rPr>
      </w:pPr>
    </w:p>
    <w:p w:rsidR="00E56433" w:rsidRDefault="00C74806" w:rsidP="00C74806">
      <w:pPr>
        <w:pStyle w:val="normal0"/>
        <w:jc w:val="both"/>
      </w:pPr>
      <w:r>
        <w:rPr>
          <w:b/>
        </w:rPr>
        <w:t xml:space="preserve">       </w:t>
      </w:r>
      <w:r w:rsidR="00E56433">
        <w:rPr>
          <w:b/>
        </w:rPr>
        <w:t>Lucas Nascimento de Almeida</w:t>
      </w:r>
      <w:r>
        <w:rPr>
          <w:b/>
        </w:rPr>
        <w:t xml:space="preserve">                                                         Rodrigo Oliveira Aguiar</w:t>
      </w:r>
    </w:p>
    <w:p w:rsidR="00C74806" w:rsidRDefault="00C74806" w:rsidP="00C74806">
      <w:pPr>
        <w:pStyle w:val="normal0"/>
      </w:pPr>
      <w:r>
        <w:rPr>
          <w:b/>
        </w:rPr>
        <w:t xml:space="preserve">            </w:t>
      </w:r>
      <w:r w:rsidR="00E56433">
        <w:rPr>
          <w:b/>
        </w:rPr>
        <w:t>Prefeito Municipal</w:t>
      </w:r>
      <w:r>
        <w:rPr>
          <w:b/>
        </w:rPr>
        <w:t xml:space="preserve">                                                                          Presidente da Câmara</w:t>
      </w:r>
    </w:p>
    <w:p w:rsidR="00E56433" w:rsidRDefault="00E56433" w:rsidP="00C74806">
      <w:pPr>
        <w:pStyle w:val="normal0"/>
        <w:jc w:val="both"/>
        <w:rPr>
          <w:b/>
        </w:rPr>
      </w:pPr>
    </w:p>
    <w:p w:rsidR="00E56433" w:rsidRDefault="00E56433" w:rsidP="00E56433">
      <w:pPr>
        <w:pStyle w:val="normal0"/>
        <w:jc w:val="center"/>
        <w:rPr>
          <w:b/>
        </w:rPr>
      </w:pPr>
    </w:p>
    <w:p w:rsidR="00E56433" w:rsidRDefault="00E56433" w:rsidP="00E56433">
      <w:pPr>
        <w:pStyle w:val="normal0"/>
        <w:jc w:val="center"/>
        <w:rPr>
          <w:b/>
        </w:rPr>
      </w:pPr>
    </w:p>
    <w:p w:rsidR="00CC4126" w:rsidRPr="00E56433" w:rsidRDefault="00C74806" w:rsidP="00E56433">
      <w:pPr>
        <w:ind w:left="-567"/>
        <w:rPr>
          <w:sz w:val="20"/>
          <w:szCs w:val="20"/>
        </w:rPr>
      </w:pPr>
    </w:p>
    <w:sectPr w:rsidR="00CC4126" w:rsidRPr="00E56433" w:rsidSect="00C74806">
      <w:pgSz w:w="11906" w:h="16838"/>
      <w:pgMar w:top="2410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17DB6"/>
    <w:multiLevelType w:val="multilevel"/>
    <w:tmpl w:val="161EE33C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433"/>
    <w:rsid w:val="000409FF"/>
    <w:rsid w:val="00401BDC"/>
    <w:rsid w:val="006F5EAB"/>
    <w:rsid w:val="00727677"/>
    <w:rsid w:val="00901857"/>
    <w:rsid w:val="00A253BA"/>
    <w:rsid w:val="00C74806"/>
    <w:rsid w:val="00E56433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5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4">
    <w:name w:val="4"/>
    <w:basedOn w:val="Tabelanormal"/>
    <w:rsid w:val="00E5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elanormal"/>
    <w:rsid w:val="00E5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cp:lastPrinted>2024-05-02T21:22:00Z</cp:lastPrinted>
  <dcterms:created xsi:type="dcterms:W3CDTF">2024-05-02T20:22:00Z</dcterms:created>
  <dcterms:modified xsi:type="dcterms:W3CDTF">2024-05-02T21:22:00Z</dcterms:modified>
</cp:coreProperties>
</file>